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696AF3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7" o:title=""/>
          </v:shape>
          <w:control r:id="rId8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9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2" w:shapeid="_x0000_i1052"/>
        </w:object>
      </w:r>
    </w:p>
    <w:p w:rsidR="00832D06" w:rsidRPr="00832D06" w:rsidRDefault="00696AF3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3" w:shapeid="_x0000_i1055"/>
        </w:object>
      </w:r>
    </w:p>
    <w:p w:rsidR="00832D06" w:rsidRPr="00832D06" w:rsidRDefault="00696AF3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in;height:18pt" o:ole="">
            <v:imagedata r:id="rId14" o:title=""/>
          </v:shape>
          <w:control r:id="rId15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1in;height:18pt" o:ole="">
            <v:imagedata r:id="rId18" o:title=""/>
          </v:shape>
          <w:control r:id="rId19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1in;height:18pt" o:ole="">
            <v:imagedata r:id="rId20" o:title=""/>
          </v:shape>
          <w:control r:id="rId21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  <w:gridCol w:w="106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4"/>
              <w:gridCol w:w="1852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687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4"/>
              <w:gridCol w:w="4813"/>
            </w:tblGrid>
            <w:tr w:rsidR="00832D06" w:rsidRPr="00832D06" w:rsidTr="00832D06">
              <w:trPr>
                <w:trHeight w:val="450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0D78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</w:t>
                  </w:r>
                  <w:bookmarkStart w:id="0" w:name="_GoBack"/>
                  <w:bookmarkEnd w:id="0"/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BE50A0" w:rsidP="002C1EA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Aprobación de </w:t>
                  </w:r>
                  <w:r w:rsidR="002C1EAA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iseño de la estructura de pavimentos para accesos de propiedades privadas a Rutas </w:t>
                  </w:r>
                  <w:r w:rsidR="0034063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acionales</w:t>
                  </w:r>
                  <w:r w:rsidR="0034063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 sin acceso </w:t>
                  </w:r>
                  <w:r w:rsidR="002C1EAA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restringido</w:t>
                  </w:r>
                  <w:r w:rsidR="00340634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Gobierno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4F631E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CONAVI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4F631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Dirección de </w:t>
                  </w:r>
                  <w:r w:rsidR="004F631E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Vías y Puentes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1B01F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Edificio Plaza Universitaria, 50 metros este Rotonda la Betania, Mercedes, Montes de Oca, San </w:t>
                  </w:r>
                  <w:r w:rsidR="00DC6309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José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1B01FC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Diseño de Pavimentos aprobado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2F76B7" w:rsidP="002F76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General de Contratación Administrativa No. 2227, Ley General de Caminos Públicos No. 5060 y Ley de Creación del CONAVI No. 7798 </w:t>
                  </w:r>
                  <w:r w:rsidR="00F03FA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y </w:t>
                  </w:r>
                  <w:r w:rsidR="00DC6309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Ley No. 6324, Artículo No.14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"/>
                    <w:gridCol w:w="4349"/>
                    <w:gridCol w:w="4202"/>
                    <w:gridCol w:w="579"/>
                  </w:tblGrid>
                  <w:tr w:rsidR="00832D06" w:rsidRPr="00832D06" w:rsidTr="00832D06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9C7FA6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832D06" w:rsidRDefault="009C7FA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832D06" w:rsidRDefault="009C7FA6" w:rsidP="00340634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Nombre completo, número de cédula, teléfonos, correo el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ectrónico, número de fax, apara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do postal y dirección de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domicilio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</w:tblGrid>
                        <w:tr w:rsidR="009C7FA6" w:rsidRPr="00832D06" w:rsidTr="000574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7FA6" w:rsidRPr="00832D06" w:rsidRDefault="009C7FA6" w:rsidP="000574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293 a295.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C7FA6" w:rsidRPr="00832D06" w:rsidRDefault="009C7FA6" w:rsidP="0005742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832D06" w:rsidRDefault="009C7FA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9C7FA6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832D06" w:rsidRDefault="009C7FA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F03FAA" w:rsidRDefault="009C7FA6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Dirigir la solicitud al Gerente de Contratación de Vías y Puentes con los siguientes requisitos técnicos: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un pequeño esquema de la ubicación, así como 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 xml:space="preserve">una breve descripción de la intervención a realizar, donde se especifique qué área de la ampliación, es exclusivamente para el flujo de entrada y salida al proyecto, y cuál es para el flujo original de la vía.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El diseño debe presentarse de acuerdo con lo establecido en la Guía AASHTO para Diseño de Estructuras de Pavimento, versión 1993.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la memoria de cálculo correspondiente, la cual deberá ser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replanteable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y explicativa.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Debe presentarse el estudio de tránsito (TPD), así como su respectiva distribución y porcentaje de crecimiento vehicular, realizado por un ente reconocido en esta área, preferiblemente la Dirección de Planificación Sectorial del Ministerio de Obras Públicas y Transportes (MOPT).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Ensayos para caracterización de los materiales, CBR, límites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Atterberg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granulometría, clasificación de los suelos, indicando los puntos en la propiedad donde fueron extraídos (debe ser mostrado en el esquema de ubicación del proyecto).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El diseñador deberá indicar los parámetros de diseño utilizados y justificarlos, dependiendo de la estructura; en el caso de </w:t>
                        </w:r>
                        <w:r w:rsidRPr="00F03FAA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es-CR"/>
                          </w:rPr>
                          <w:t>pavimentos rígidos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: Ejes equivalentes de diseño, nivel de confianza, desviación estándar, pérdida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serviciabilidad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resistencia media del concreto 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flexotracción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a los 28 días, módulo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resilente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de la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subrasante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coeficiente de drenaje, coeficientes de transmisión de carga, módulo de elasticidad del concreto, módulo de reacción de la superficie en que se apoya el pavimento. En el caso de </w:t>
                        </w:r>
                        <w:r w:rsidRPr="00F03FAA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es-CR"/>
                          </w:rPr>
                          <w:t>pavimentos flexibles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: Ejes </w:t>
                        </w: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 xml:space="preserve">equivalentes de diseño, nivel de confianza, desviación estándar, pérdida de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serviciabilidad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módulo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resilente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de la </w:t>
                        </w:r>
                        <w:proofErr w:type="spellStart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subrasante</w:t>
                        </w:r>
                        <w:proofErr w:type="spellEnd"/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número estructural, coeficientes estructurales, coeficientes de drenaje. </w:t>
                        </w:r>
                      </w:p>
                      <w:p w:rsidR="009C7FA6" w:rsidRPr="00F03FAA" w:rsidRDefault="009C7FA6" w:rsidP="00F03FAA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21" w:hanging="426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F03FA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A su vez, para todo diseño de estructura de pavimento flexible, deben realizarse las verificaciones de esfuerzo y deformación solicitadas por el Despacho del en ese entonces Viceministro de Obras Públicas mediante oficio DVOP-5170-07 del 10 de setiembre de 2007. 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F03FAA" w:rsidRDefault="009C7FA6" w:rsidP="000574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lastRenderedPageBreak/>
                          <w:t>Ley General de la Administración Pública No. 6227, Artículo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s Nos.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284 a292,</w:t>
                        </w:r>
                        <w:r w:rsidRPr="00832D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671A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Ley General de Caminos Públicos No. 5060 y Ley No. 7798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 xml:space="preserve"> Artículo No. 4 </w:t>
                        </w:r>
                        <w:r w:rsidRPr="009C7F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  <w:t>y Ley No. 6324, Artículo No.14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9C7FA6" w:rsidRPr="00832D06" w:rsidRDefault="009C7FA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  <w:tr w:rsidR="00832D06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206DE7" w:rsidP="009C7FA6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En caso de no aceptars</w:t>
                        </w:r>
                        <w:r w:rsidR="009C7F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e la propuesta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9C7F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presentada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debido a que se le deben realizar correcciones, se solicitarán las mismas y se dará el plazo que la ley establece para estos efectos.</w:t>
                        </w: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</w:tblGrid>
                        <w:tr w:rsidR="00832D06" w:rsidRPr="00832D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0C29B9" w:rsidP="000C29B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 No. 6227, Artículo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s Nos.</w:t>
                              </w:r>
                              <w:r w:rsidRPr="00832D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  <w:t>327 en adelante</w:t>
                              </w:r>
                            </w:p>
                          </w:tc>
                        </w:tr>
                      </w:tbl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1701</w:t>
                        </w:r>
                      </w:p>
                    </w:tc>
                  </w:tr>
                  <w:tr w:rsidR="00832D06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1702</w:t>
                        </w:r>
                      </w:p>
                    </w:tc>
                  </w:tr>
                  <w:tr w:rsidR="00206DE7" w:rsidRPr="00832D06" w:rsidTr="009C7FA6">
                    <w:tc>
                      <w:tcPr>
                        <w:tcW w:w="199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206DE7" w:rsidRPr="00832D06" w:rsidRDefault="00206DE7" w:rsidP="00F03FA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8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206DE7" w:rsidRDefault="00206DE7" w:rsidP="00206DE7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10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206DE7" w:rsidRPr="00832D06" w:rsidRDefault="00206DE7" w:rsidP="00F03FA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</w:tcPr>
                      <w:p w:rsidR="00206DE7" w:rsidRPr="00832D06" w:rsidRDefault="00206DE7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lastRenderedPageBreak/>
                    <w:t xml:space="preserve">Si desea revisar leyes y decretos los puede encontrar en la página de la Procuraduría General de la República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5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206D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Plazo de resolución: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696AF3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225" w:dyaOrig="225">
                      <v:shape id="_x0000_i1071" type="#_x0000_t75" style="width:51.5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0C29B9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No tiene vigencia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1"/>
                  </w:tblGrid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0C29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 w:rsidR="000C29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5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.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Oficina o Sucursal: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Dirección de Diseño de Vías y Puentes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0C29B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María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Gabriela </w:t>
                        </w:r>
                        <w:proofErr w:type="spellStart"/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Baltodano</w:t>
                        </w:r>
                        <w:proofErr w:type="spellEnd"/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Vargas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0D78D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="00383055" w:rsidRPr="001748A2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gabriela.baltodano@conavi.go.cr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3830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02-5498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2202-5499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38305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2524-1433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lastRenderedPageBreak/>
                    <w:t xml:space="preserve">Observaciones 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rHeight w:val="375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proofErr w:type="spellStart"/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tramite</w:t>
                  </w:r>
                  <w:proofErr w:type="spellEnd"/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696AF3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4" type="#_x0000_t75" style="width:65.5pt;height:20.5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2F3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C59"/>
    <w:multiLevelType w:val="hybridMultilevel"/>
    <w:tmpl w:val="7D1AE6AC"/>
    <w:lvl w:ilvl="0" w:tplc="14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D06"/>
    <w:rsid w:val="000233BB"/>
    <w:rsid w:val="00051DAB"/>
    <w:rsid w:val="000C29B9"/>
    <w:rsid w:val="000D610A"/>
    <w:rsid w:val="000D78D9"/>
    <w:rsid w:val="00171941"/>
    <w:rsid w:val="001722D6"/>
    <w:rsid w:val="001B01FC"/>
    <w:rsid w:val="001B3390"/>
    <w:rsid w:val="001C01DD"/>
    <w:rsid w:val="001C2231"/>
    <w:rsid w:val="001C6C80"/>
    <w:rsid w:val="001F2042"/>
    <w:rsid w:val="00206DE7"/>
    <w:rsid w:val="00266ED0"/>
    <w:rsid w:val="002C1EAA"/>
    <w:rsid w:val="002C7262"/>
    <w:rsid w:val="002F39BF"/>
    <w:rsid w:val="002F76B7"/>
    <w:rsid w:val="00340634"/>
    <w:rsid w:val="00342057"/>
    <w:rsid w:val="00357170"/>
    <w:rsid w:val="00383055"/>
    <w:rsid w:val="003C4B75"/>
    <w:rsid w:val="004219BF"/>
    <w:rsid w:val="0043298B"/>
    <w:rsid w:val="004800C5"/>
    <w:rsid w:val="004E3168"/>
    <w:rsid w:val="004E7DC4"/>
    <w:rsid w:val="004F631E"/>
    <w:rsid w:val="005577B6"/>
    <w:rsid w:val="005772E7"/>
    <w:rsid w:val="005B5633"/>
    <w:rsid w:val="005C7CEF"/>
    <w:rsid w:val="005C7FF2"/>
    <w:rsid w:val="00623D51"/>
    <w:rsid w:val="006548E9"/>
    <w:rsid w:val="00696AF3"/>
    <w:rsid w:val="0072447E"/>
    <w:rsid w:val="0079561F"/>
    <w:rsid w:val="007D2B4B"/>
    <w:rsid w:val="007E6FAE"/>
    <w:rsid w:val="008173DB"/>
    <w:rsid w:val="00832D06"/>
    <w:rsid w:val="00842247"/>
    <w:rsid w:val="00861CAB"/>
    <w:rsid w:val="00884222"/>
    <w:rsid w:val="008A288D"/>
    <w:rsid w:val="008A4302"/>
    <w:rsid w:val="0090607F"/>
    <w:rsid w:val="00912D2E"/>
    <w:rsid w:val="00936FC3"/>
    <w:rsid w:val="009C7FA6"/>
    <w:rsid w:val="009F4A32"/>
    <w:rsid w:val="00A56ED0"/>
    <w:rsid w:val="00A57094"/>
    <w:rsid w:val="00A62BE7"/>
    <w:rsid w:val="00A70318"/>
    <w:rsid w:val="00A83E58"/>
    <w:rsid w:val="00BA201C"/>
    <w:rsid w:val="00BA7B6D"/>
    <w:rsid w:val="00BE50A0"/>
    <w:rsid w:val="00CB13BA"/>
    <w:rsid w:val="00D049E4"/>
    <w:rsid w:val="00D23137"/>
    <w:rsid w:val="00D44DAC"/>
    <w:rsid w:val="00D61622"/>
    <w:rsid w:val="00DB0529"/>
    <w:rsid w:val="00DB6419"/>
    <w:rsid w:val="00DC6309"/>
    <w:rsid w:val="00DD7A9C"/>
    <w:rsid w:val="00DF7DE1"/>
    <w:rsid w:val="00E410CF"/>
    <w:rsid w:val="00EB1C57"/>
    <w:rsid w:val="00EB4EA3"/>
    <w:rsid w:val="00EE444E"/>
    <w:rsid w:val="00F03FAA"/>
    <w:rsid w:val="00F5573F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F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yperlink" Target="javascript:__doPostBack('lkb2',''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hyperlink" Target="javascript:__doPostBack('lkb1','')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hyperlink" Target="mailto:gabriela.baltodano@conavi.go.cr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9AE5-DEAD-4653-80D2-881049A6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5</cp:revision>
  <cp:lastPrinted>2015-05-13T18:24:00Z</cp:lastPrinted>
  <dcterms:created xsi:type="dcterms:W3CDTF">2015-04-20T22:44:00Z</dcterms:created>
  <dcterms:modified xsi:type="dcterms:W3CDTF">2015-05-13T18:24:00Z</dcterms:modified>
</cp:coreProperties>
</file>