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8"/>
        <w:gridCol w:w="2022"/>
        <w:gridCol w:w="5573"/>
      </w:tblGrid>
      <w:tr w:rsidR="00F338DF" w:rsidRPr="00110117" w14:paraId="2FD0BB67" w14:textId="77777777" w:rsidTr="001E229F">
        <w:trPr>
          <w:cantSplit/>
          <w:trHeight w:hRule="exact" w:val="738"/>
          <w:tblHeader/>
          <w:jc w:val="center"/>
        </w:trPr>
        <w:tc>
          <w:tcPr>
            <w:tcW w:w="10553" w:type="dxa"/>
            <w:gridSpan w:val="3"/>
            <w:shd w:val="clear" w:color="auto" w:fill="17365D" w:themeFill="text2" w:themeFillShade="BF"/>
            <w:vAlign w:val="center"/>
          </w:tcPr>
          <w:p w14:paraId="50CBA6F4" w14:textId="12E9840B" w:rsidR="00F338DF" w:rsidRPr="00EF0B5B" w:rsidRDefault="00F338DF" w:rsidP="007510BF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Nombre del Trámite: </w:t>
            </w:r>
            <w:r w:rsidR="007510B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  <w:t>Pago de facturas</w:t>
            </w:r>
          </w:p>
        </w:tc>
      </w:tr>
      <w:tr w:rsidR="00F338DF" w:rsidRPr="00110117" w14:paraId="5067562F" w14:textId="77777777" w:rsidTr="001E229F">
        <w:trPr>
          <w:cantSplit/>
          <w:trHeight w:hRule="exact" w:val="556"/>
          <w:tblHeader/>
          <w:jc w:val="center"/>
        </w:trPr>
        <w:tc>
          <w:tcPr>
            <w:tcW w:w="10553" w:type="dxa"/>
            <w:gridSpan w:val="3"/>
            <w:shd w:val="clear" w:color="auto" w:fill="FFFFFF" w:themeFill="background1"/>
            <w:vAlign w:val="center"/>
          </w:tcPr>
          <w:p w14:paraId="75B2334F" w14:textId="237B5DA9" w:rsidR="00F338DF" w:rsidRPr="00EF0B5B" w:rsidRDefault="00F338DF" w:rsidP="007510BF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0B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BC5AB8" w:rsidRPr="00EF0B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Pago de Facturas</w:t>
            </w:r>
            <w:r w:rsidR="00EF0B5B" w:rsidRPr="00EF0B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a </w:t>
            </w:r>
          </w:p>
        </w:tc>
      </w:tr>
      <w:tr w:rsidR="00F338DF" w:rsidRPr="00110117" w14:paraId="0F3F443B" w14:textId="77777777" w:rsidTr="001E229F">
        <w:trPr>
          <w:trHeight w:hRule="exact" w:val="546"/>
          <w:jc w:val="center"/>
        </w:trPr>
        <w:tc>
          <w:tcPr>
            <w:tcW w:w="2958" w:type="dxa"/>
            <w:shd w:val="clear" w:color="auto" w:fill="FFFFFF" w:themeFill="background1"/>
            <w:vAlign w:val="center"/>
          </w:tcPr>
          <w:p w14:paraId="276225EA" w14:textId="77777777" w:rsidR="00F338DF" w:rsidRPr="00EF0B5B" w:rsidRDefault="00F338DF" w:rsidP="00EF0B5B">
            <w:pPr>
              <w:tabs>
                <w:tab w:val="left" w:pos="2712"/>
              </w:tabs>
              <w:spacing w:line="217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 (a la que se le brinda el servicio)</w:t>
            </w:r>
            <w:r w:rsidR="00EF0B5B"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7595" w:type="dxa"/>
            <w:gridSpan w:val="2"/>
            <w:vAlign w:val="center"/>
          </w:tcPr>
          <w:p w14:paraId="7B553781" w14:textId="109E5043" w:rsidR="00F338DF" w:rsidRPr="00EF0B5B" w:rsidRDefault="00CF0754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F1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Ministerio, Administración Central.</w:t>
            </w:r>
          </w:p>
        </w:tc>
      </w:tr>
      <w:tr w:rsidR="00F338DF" w:rsidRPr="00EF0B5B" w14:paraId="4826FDC9" w14:textId="77777777" w:rsidTr="001E229F">
        <w:trPr>
          <w:trHeight w:hRule="exact" w:val="559"/>
          <w:jc w:val="center"/>
        </w:trPr>
        <w:tc>
          <w:tcPr>
            <w:tcW w:w="2958" w:type="dxa"/>
            <w:shd w:val="clear" w:color="auto" w:fill="FFFFFF" w:themeFill="background1"/>
            <w:vAlign w:val="center"/>
          </w:tcPr>
          <w:p w14:paraId="0929425C" w14:textId="77777777" w:rsidR="00F338DF" w:rsidRPr="00EF0B5B" w:rsidRDefault="00F338DF" w:rsidP="00EF0B5B">
            <w:pPr>
              <w:tabs>
                <w:tab w:val="left" w:pos="2712"/>
              </w:tabs>
              <w:spacing w:line="217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  <w:r w:rsidR="00EF0B5B"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95" w:type="dxa"/>
            <w:gridSpan w:val="2"/>
            <w:vAlign w:val="center"/>
          </w:tcPr>
          <w:p w14:paraId="0EE37C5F" w14:textId="77777777" w:rsidR="00F338DF" w:rsidRPr="00EF0B5B" w:rsidRDefault="00F338DF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="003E6815"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onsejo Nacional de Vialidad</w:t>
            </w:r>
          </w:p>
        </w:tc>
      </w:tr>
      <w:tr w:rsidR="00F338DF" w:rsidRPr="00110117" w14:paraId="107C5469" w14:textId="77777777" w:rsidTr="001E229F">
        <w:trPr>
          <w:trHeight w:hRule="exact" w:val="566"/>
          <w:jc w:val="center"/>
        </w:trPr>
        <w:tc>
          <w:tcPr>
            <w:tcW w:w="2958" w:type="dxa"/>
            <w:shd w:val="clear" w:color="auto" w:fill="FFFFFF" w:themeFill="background1"/>
            <w:vAlign w:val="center"/>
          </w:tcPr>
          <w:p w14:paraId="1AE2E77B" w14:textId="77777777" w:rsidR="00F338DF" w:rsidRPr="00EF0B5B" w:rsidRDefault="00F338DF" w:rsidP="00EF0B5B">
            <w:pPr>
              <w:tabs>
                <w:tab w:val="left" w:pos="2712"/>
              </w:tabs>
              <w:spacing w:line="212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</w:t>
            </w:r>
            <w:r w:rsidR="00EF0B5B"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7595" w:type="dxa"/>
            <w:gridSpan w:val="2"/>
            <w:vAlign w:val="center"/>
          </w:tcPr>
          <w:p w14:paraId="0DD71CE6" w14:textId="769F5230" w:rsidR="00F338DF" w:rsidRPr="002B0A3E" w:rsidRDefault="00CF0754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F1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Unidad Ejecutora PIV-1 – Dirección Ejecutiva</w:t>
            </w:r>
          </w:p>
        </w:tc>
      </w:tr>
      <w:tr w:rsidR="00F338DF" w:rsidRPr="00110117" w14:paraId="74C237A8" w14:textId="77777777" w:rsidTr="001E229F">
        <w:trPr>
          <w:trHeight w:hRule="exact" w:val="574"/>
          <w:jc w:val="center"/>
        </w:trPr>
        <w:tc>
          <w:tcPr>
            <w:tcW w:w="2958" w:type="dxa"/>
            <w:shd w:val="clear" w:color="auto" w:fill="FFFFFF" w:themeFill="background1"/>
            <w:vAlign w:val="center"/>
          </w:tcPr>
          <w:p w14:paraId="0CBF041C" w14:textId="77777777" w:rsidR="00F338DF" w:rsidRPr="00EF0B5B" w:rsidRDefault="00F338DF" w:rsidP="00EF0B5B">
            <w:pPr>
              <w:tabs>
                <w:tab w:val="left" w:pos="2712"/>
              </w:tabs>
              <w:spacing w:line="226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</w:t>
            </w:r>
            <w:r w:rsidR="00EF0B5B"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7595" w:type="dxa"/>
            <w:gridSpan w:val="2"/>
            <w:vAlign w:val="center"/>
          </w:tcPr>
          <w:p w14:paraId="170D4FFC" w14:textId="77777777" w:rsidR="00F338DF" w:rsidRPr="00807F13" w:rsidRDefault="00F338DF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807F1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San Pedro, Rotonda La Betania, 50 este y </w:t>
            </w:r>
            <w:r w:rsidR="000958CE" w:rsidRPr="00807F1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</w:t>
            </w:r>
            <w:r w:rsidR="00EF0B5B" w:rsidRPr="00807F1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e</w:t>
            </w:r>
            <w:r w:rsidR="000958CE" w:rsidRPr="00807F1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dificio </w:t>
            </w:r>
            <w:r w:rsidR="00BC5AB8" w:rsidRPr="00807F1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esquinero frente a Financiera </w:t>
            </w:r>
            <w:proofErr w:type="spellStart"/>
            <w:r w:rsidR="00BC5AB8" w:rsidRPr="00807F1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Desyfin</w:t>
            </w:r>
            <w:proofErr w:type="spellEnd"/>
            <w:r w:rsidR="000958CE" w:rsidRPr="00807F1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.</w:t>
            </w:r>
          </w:p>
        </w:tc>
      </w:tr>
      <w:tr w:rsidR="00F338DF" w:rsidRPr="00110117" w14:paraId="11FFC2A0" w14:textId="77777777" w:rsidTr="001E229F">
        <w:trPr>
          <w:trHeight w:hRule="exact" w:val="842"/>
          <w:jc w:val="center"/>
        </w:trPr>
        <w:tc>
          <w:tcPr>
            <w:tcW w:w="2958" w:type="dxa"/>
            <w:shd w:val="clear" w:color="auto" w:fill="FFFFFF" w:themeFill="background1"/>
            <w:vAlign w:val="center"/>
          </w:tcPr>
          <w:p w14:paraId="59DE2250" w14:textId="77777777" w:rsidR="00F338DF" w:rsidRPr="00EF0B5B" w:rsidRDefault="00F338DF" w:rsidP="00EF0B5B">
            <w:pPr>
              <w:tabs>
                <w:tab w:val="left" w:pos="2712"/>
              </w:tabs>
              <w:spacing w:line="221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595" w:type="dxa"/>
            <w:gridSpan w:val="2"/>
            <w:vAlign w:val="center"/>
          </w:tcPr>
          <w:p w14:paraId="39D741B0" w14:textId="0ADC2BE0" w:rsidR="00F338DF" w:rsidRPr="00807F13" w:rsidRDefault="00CF0754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807F1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Visto bueno de la Unidad Ejecutora PIV-1, para recepción de las facturas de contratistas o proveedores.</w:t>
            </w:r>
          </w:p>
        </w:tc>
      </w:tr>
      <w:tr w:rsidR="00807F13" w:rsidRPr="00110117" w14:paraId="72CC9EF1" w14:textId="77777777" w:rsidTr="00890277">
        <w:trPr>
          <w:trHeight w:hRule="exact" w:val="504"/>
          <w:jc w:val="center"/>
        </w:trPr>
        <w:tc>
          <w:tcPr>
            <w:tcW w:w="10553" w:type="dxa"/>
            <w:gridSpan w:val="3"/>
            <w:shd w:val="clear" w:color="auto" w:fill="FFFFFF" w:themeFill="background1"/>
            <w:vAlign w:val="center"/>
          </w:tcPr>
          <w:p w14:paraId="1AC0D589" w14:textId="514F693F" w:rsidR="00807F13" w:rsidRPr="00807F13" w:rsidRDefault="00807F13" w:rsidP="00807F13">
            <w:pPr>
              <w:ind w:left="238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07F13"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</w:tr>
      <w:tr w:rsidR="00F338DF" w:rsidRPr="00EF0B5B" w14:paraId="57BDA18D" w14:textId="77777777" w:rsidTr="001E229F">
        <w:trPr>
          <w:trHeight w:hRule="exact" w:val="332"/>
          <w:jc w:val="center"/>
        </w:trPr>
        <w:tc>
          <w:tcPr>
            <w:tcW w:w="1055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A69E7" w14:textId="77777777" w:rsidR="00F338DF" w:rsidRPr="00EF0B5B" w:rsidRDefault="00F338DF" w:rsidP="00EF0B5B">
            <w:pPr>
              <w:ind w:right="1185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Requisitos</w:t>
            </w:r>
          </w:p>
        </w:tc>
      </w:tr>
      <w:tr w:rsidR="004B0E6B" w:rsidRPr="00EF0B5B" w14:paraId="4E52E85E" w14:textId="77777777" w:rsidTr="001E229F">
        <w:trPr>
          <w:trHeight w:val="286"/>
          <w:jc w:val="center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EB87E0" w14:textId="77777777" w:rsidR="004B0E6B" w:rsidRPr="00A44497" w:rsidRDefault="004B0E6B" w:rsidP="004B0E6B">
            <w:pPr>
              <w:ind w:right="141"/>
              <w:jc w:val="both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110117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Facturas</w:t>
            </w:r>
            <w:r w:rsidRPr="00A44497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 deben contener: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C85433" w14:textId="77777777" w:rsidR="004B0E6B" w:rsidRPr="00A44497" w:rsidRDefault="004B0E6B" w:rsidP="004B0E6B">
            <w:pPr>
              <w:ind w:left="142" w:right="1185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</w:pPr>
          </w:p>
        </w:tc>
      </w:tr>
      <w:tr w:rsidR="002B0A3E" w:rsidRPr="00110117" w14:paraId="46C92266" w14:textId="77777777" w:rsidTr="001E229F">
        <w:trPr>
          <w:trHeight w:val="166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5DA92EB2" w14:textId="011E2EF5" w:rsidR="002B0A3E" w:rsidRPr="00CF0754" w:rsidRDefault="002B0A3E" w:rsidP="00CF0754">
            <w:pPr>
              <w:pStyle w:val="Prrafodelista"/>
              <w:numPr>
                <w:ilvl w:val="0"/>
                <w:numId w:val="10"/>
              </w:numPr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CF0754">
              <w:rPr>
                <w:rFonts w:ascii="Arial" w:eastAsia="Times New Roman" w:hAnsi="Arial"/>
                <w:color w:val="000000"/>
                <w:sz w:val="18"/>
                <w:szCs w:val="18"/>
              </w:rPr>
              <w:t>Nombre completo y Dirección de la persona física o jurídica.</w:t>
            </w:r>
          </w:p>
          <w:p w14:paraId="2BC6A69E" w14:textId="77777777" w:rsidR="002B0A3E" w:rsidRDefault="002B0A3E" w:rsidP="00A44497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  <w:p w14:paraId="3E71469E" w14:textId="77777777" w:rsidR="002B0A3E" w:rsidRPr="002B0A3E" w:rsidRDefault="002B0A3E" w:rsidP="00A44497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1AAF0114" w14:textId="226F8825" w:rsidR="002B0A3E" w:rsidRPr="002B0A3E" w:rsidRDefault="002B0A3E" w:rsidP="002B0A3E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Ley 6826, Ley del i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mpuesto general sobre la ventas, artículo 8 y decreto N° 14082-H</w:t>
            </w: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 </w:t>
            </w: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Reglamento de la Ley del Impuesto General sobre las Ventas, artículos 18.</w:t>
            </w:r>
          </w:p>
        </w:tc>
      </w:tr>
      <w:tr w:rsidR="002B0A3E" w:rsidRPr="00110117" w14:paraId="690115B1" w14:textId="77777777" w:rsidTr="001E229F">
        <w:trPr>
          <w:trHeight w:val="166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2D397D7F" w14:textId="0A26E11B" w:rsidR="002B0A3E" w:rsidRDefault="002B0A3E" w:rsidP="00CF0754">
            <w:pPr>
              <w:pStyle w:val="Prrafodelista"/>
              <w:numPr>
                <w:ilvl w:val="0"/>
                <w:numId w:val="10"/>
              </w:numPr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CF0754">
              <w:rPr>
                <w:rFonts w:ascii="Arial" w:eastAsia="Times New Roman" w:hAnsi="Arial"/>
                <w:color w:val="000000"/>
                <w:sz w:val="18"/>
                <w:szCs w:val="18"/>
              </w:rPr>
              <w:t>Número de cédula de la persona física o jurídica.</w:t>
            </w:r>
          </w:p>
          <w:p w14:paraId="41A6DC3F" w14:textId="77777777" w:rsidR="00BC3489" w:rsidRDefault="00BC3489" w:rsidP="00BC3489">
            <w:pPr>
              <w:pStyle w:val="Prrafodelista"/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  <w:p w14:paraId="395C25DE" w14:textId="77777777" w:rsidR="00BC3489" w:rsidRDefault="00BC3489" w:rsidP="00BC3489">
            <w:pPr>
              <w:pStyle w:val="Prrafodelista"/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  <w:p w14:paraId="11902DD5" w14:textId="77777777" w:rsidR="002B0A3E" w:rsidRPr="002B0A3E" w:rsidRDefault="002B0A3E" w:rsidP="00A44497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633AFCCC" w14:textId="32406ED4" w:rsidR="002B0A3E" w:rsidRPr="002B0A3E" w:rsidRDefault="002B0A3E" w:rsidP="00A4449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Ley 6826, Ley del i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mpuesto general sobre la ventas, artículo 8 y decreto N° 14082-H</w:t>
            </w: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 </w:t>
            </w: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Reglamento de la Ley del Impuesto General sobre las Ventas, artículos 18.</w:t>
            </w:r>
          </w:p>
        </w:tc>
      </w:tr>
      <w:tr w:rsidR="002B0A3E" w:rsidRPr="00110117" w14:paraId="452F7E93" w14:textId="77777777" w:rsidTr="001E229F">
        <w:trPr>
          <w:trHeight w:val="166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69AA239B" w14:textId="344974AA" w:rsidR="002B0A3E" w:rsidRPr="00CF0754" w:rsidRDefault="002B0A3E" w:rsidP="00CF0754">
            <w:pPr>
              <w:pStyle w:val="Prrafodelista"/>
              <w:numPr>
                <w:ilvl w:val="0"/>
                <w:numId w:val="10"/>
              </w:numPr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CF0754">
              <w:rPr>
                <w:rFonts w:ascii="Arial" w:eastAsia="Times New Roman" w:hAnsi="Arial"/>
                <w:color w:val="000000"/>
                <w:sz w:val="18"/>
                <w:szCs w:val="18"/>
              </w:rPr>
              <w:t>Numeración pre impresa.</w:t>
            </w: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69A72834" w14:textId="77777777" w:rsidR="002B0A3E" w:rsidRDefault="002B0A3E" w:rsidP="00A4449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Ley 6826, Ley del i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mpuesto general sobre la ventas, artículo 8 y decreto N° 14082-H</w:t>
            </w: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 </w:t>
            </w: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Reglamento de la Ley del Impuesto General sobre las Ventas, artículos 18.</w:t>
            </w:r>
          </w:p>
          <w:p w14:paraId="03894BD9" w14:textId="51C41003" w:rsidR="002B0A3E" w:rsidRPr="00A96697" w:rsidRDefault="002B0A3E" w:rsidP="00A4449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2B0A3E" w:rsidRPr="00110117" w14:paraId="316719FD" w14:textId="77777777" w:rsidTr="001E229F">
        <w:trPr>
          <w:trHeight w:val="166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4A17B6D3" w14:textId="6BB69349" w:rsidR="002B0A3E" w:rsidRPr="00CF0754" w:rsidRDefault="002B0A3E" w:rsidP="00CF0754">
            <w:pPr>
              <w:pStyle w:val="Prrafodelista"/>
              <w:numPr>
                <w:ilvl w:val="0"/>
                <w:numId w:val="10"/>
              </w:numPr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CF0754">
              <w:rPr>
                <w:rFonts w:ascii="Arial" w:eastAsia="Times New Roman" w:hAnsi="Arial"/>
                <w:color w:val="000000"/>
                <w:sz w:val="18"/>
                <w:szCs w:val="18"/>
              </w:rPr>
              <w:t>Fecha de facturación y valor total de la factura. Las facturas impresas en máquina de escribir o en computadora deben ser en letra con un Tamaño que permita su lectura en forma amigable y con una buena impresión. Las confeccionadas a mano  con letra legible. No deben tener correcciones ni tachones.</w:t>
            </w:r>
          </w:p>
          <w:p w14:paraId="0ACDAC4D" w14:textId="77777777" w:rsidR="002B0A3E" w:rsidRPr="002B0A3E" w:rsidRDefault="002B0A3E" w:rsidP="00A44497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0F57ABD1" w14:textId="60A1D464" w:rsidR="002B0A3E" w:rsidRPr="002B0A3E" w:rsidRDefault="002B0A3E" w:rsidP="002B0A3E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Ley 6826, Ley del i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mpuesto general sobre la ventas, artículo 8 y decreto N° 14082-H</w:t>
            </w: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 </w:t>
            </w: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Reglamento de la Ley del Impuesto General sobre las Ventas, artículos 18.</w:t>
            </w:r>
          </w:p>
        </w:tc>
      </w:tr>
      <w:tr w:rsidR="002B0A3E" w:rsidRPr="00110117" w14:paraId="4439877F" w14:textId="77777777" w:rsidTr="001E229F">
        <w:trPr>
          <w:trHeight w:val="166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5B5CC711" w14:textId="3E4D9506" w:rsidR="002B0A3E" w:rsidRPr="00CF0754" w:rsidRDefault="002B0A3E" w:rsidP="00CF0754">
            <w:pPr>
              <w:pStyle w:val="Prrafodelista"/>
              <w:numPr>
                <w:ilvl w:val="0"/>
                <w:numId w:val="10"/>
              </w:numPr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CF0754">
              <w:rPr>
                <w:rFonts w:ascii="Arial" w:eastAsia="Times New Roman" w:hAnsi="Arial"/>
                <w:color w:val="000000"/>
                <w:sz w:val="18"/>
                <w:szCs w:val="18"/>
              </w:rPr>
              <w:t>Firma del representante de la empresa contratista y/o del proveedor de los bienes y servicios.</w:t>
            </w:r>
          </w:p>
          <w:p w14:paraId="114DADF2" w14:textId="77777777" w:rsidR="002B0A3E" w:rsidRPr="002B0A3E" w:rsidRDefault="002B0A3E" w:rsidP="00A44497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6C16DD6D" w14:textId="773D9B51" w:rsidR="002B0A3E" w:rsidRPr="00A96697" w:rsidRDefault="004867F2" w:rsidP="00A4449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Artículo 460 del Código de comercio</w:t>
            </w:r>
            <w:r w:rsidR="002B0A3E" w:rsidRPr="00A96697">
              <w:rPr>
                <w:rFonts w:ascii="Arial" w:eastAsia="Times New Roman" w:hAnsi="Arial"/>
                <w:color w:val="000000"/>
                <w:sz w:val="18"/>
                <w:szCs w:val="18"/>
              </w:rPr>
              <w:t>.</w:t>
            </w:r>
          </w:p>
        </w:tc>
      </w:tr>
      <w:tr w:rsidR="002B0A3E" w:rsidRPr="00110117" w14:paraId="6D038B1E" w14:textId="77777777" w:rsidTr="001E229F">
        <w:trPr>
          <w:trHeight w:val="166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6E0FF85D" w14:textId="4B0F4023" w:rsidR="002B0A3E" w:rsidRPr="00CF0754" w:rsidRDefault="002B0A3E" w:rsidP="00CF0754">
            <w:pPr>
              <w:pStyle w:val="Prrafodelista"/>
              <w:numPr>
                <w:ilvl w:val="0"/>
                <w:numId w:val="10"/>
              </w:numPr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CF0754">
              <w:rPr>
                <w:rFonts w:ascii="Arial" w:eastAsia="Times New Roman" w:hAnsi="Arial"/>
                <w:color w:val="000000"/>
                <w:sz w:val="18"/>
                <w:szCs w:val="18"/>
              </w:rPr>
              <w:t>Descripción detallada del rubro que se está cobrando (calidades, cantidades, precio unitario, ubicación, numero licitatorio o de contratación, periodos y demás elementos según corresponda).</w:t>
            </w:r>
          </w:p>
          <w:p w14:paraId="75B7F0D5" w14:textId="77777777" w:rsidR="002B0A3E" w:rsidRPr="002B0A3E" w:rsidRDefault="002B0A3E" w:rsidP="00A44497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2C9F0EB2" w14:textId="3824E61E" w:rsidR="002B0A3E" w:rsidRPr="002B0A3E" w:rsidRDefault="004867F2" w:rsidP="00A4449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Artículo 9 del reglamento a la ley del impuesto sobre la renta y Articulo 18 del reglamento a la ley del impuesto sobre las ventas</w:t>
            </w:r>
            <w:r w:rsidR="002B0A3E"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.</w:t>
            </w:r>
          </w:p>
        </w:tc>
      </w:tr>
      <w:tr w:rsidR="002B0A3E" w:rsidRPr="00110117" w14:paraId="57A8A156" w14:textId="77777777" w:rsidTr="001E229F">
        <w:trPr>
          <w:trHeight w:val="166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3BFCF08A" w14:textId="3C73CA90" w:rsidR="002B0A3E" w:rsidRPr="00CF0754" w:rsidRDefault="002B0A3E" w:rsidP="00CF0754">
            <w:pPr>
              <w:pStyle w:val="Prrafodelista"/>
              <w:numPr>
                <w:ilvl w:val="0"/>
                <w:numId w:val="10"/>
              </w:numPr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CF0754">
              <w:rPr>
                <w:rFonts w:ascii="Arial" w:eastAsia="Times New Roman" w:hAnsi="Arial"/>
                <w:color w:val="000000"/>
                <w:sz w:val="18"/>
                <w:szCs w:val="18"/>
              </w:rPr>
              <w:t>Retención del 2% correspondiente al impuesto sobre la renta. (Sobre el monto en dólares y/o Colones).</w:t>
            </w:r>
          </w:p>
          <w:p w14:paraId="71A4B4AC" w14:textId="77777777" w:rsidR="002B0A3E" w:rsidRPr="002B0A3E" w:rsidRDefault="002B0A3E" w:rsidP="00A44497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56B422D1" w14:textId="5767203F" w:rsidR="002B0A3E" w:rsidRPr="002B0A3E" w:rsidRDefault="002B0A3E" w:rsidP="00A4449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Decreto 18455-H, </w:t>
            </w: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Reglamento a la Ley del im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puesto de la Renta, artículos 23</w:t>
            </w: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inciso g.</w:t>
            </w:r>
          </w:p>
        </w:tc>
      </w:tr>
      <w:tr w:rsidR="002B0A3E" w:rsidRPr="00110117" w14:paraId="0073D761" w14:textId="77777777" w:rsidTr="001E229F">
        <w:trPr>
          <w:trHeight w:val="166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7B425248" w14:textId="7E0CF994" w:rsidR="002B0A3E" w:rsidRDefault="002B0A3E" w:rsidP="00CF0754">
            <w:pPr>
              <w:pStyle w:val="Prrafodelista"/>
              <w:numPr>
                <w:ilvl w:val="0"/>
                <w:numId w:val="10"/>
              </w:numPr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CF0754">
              <w:rPr>
                <w:rFonts w:ascii="Arial" w:eastAsia="Times New Roman" w:hAnsi="Arial"/>
                <w:color w:val="000000"/>
                <w:sz w:val="18"/>
                <w:szCs w:val="18"/>
              </w:rPr>
              <w:t>Cuando la factura corresponda a pagos por concepto de "reajustes de precios" las mismas deben identificar claramente a que mes, corresponden los montos a ajustar.</w:t>
            </w:r>
          </w:p>
          <w:p w14:paraId="749817BC" w14:textId="77777777" w:rsidR="00CF0754" w:rsidRDefault="00CF0754" w:rsidP="00CF0754">
            <w:pPr>
              <w:pStyle w:val="Prrafodelista"/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  <w:p w14:paraId="0CBF9D18" w14:textId="2DFA4AA2" w:rsidR="00BC3489" w:rsidRPr="00BC3489" w:rsidRDefault="00BC3489" w:rsidP="00BC3489">
            <w:pPr>
              <w:pStyle w:val="Prrafodelista"/>
              <w:numPr>
                <w:ilvl w:val="0"/>
                <w:numId w:val="10"/>
              </w:numPr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C3489">
              <w:rPr>
                <w:rFonts w:ascii="Arial" w:eastAsia="Times New Roman" w:hAnsi="Arial"/>
                <w:color w:val="0070C0"/>
                <w:sz w:val="18"/>
                <w:szCs w:val="18"/>
              </w:rPr>
              <w:t>Desglose de otras retenciones que se deban aplicar, según corresponda</w:t>
            </w:r>
          </w:p>
          <w:p w14:paraId="1190E0CE" w14:textId="432C52BE" w:rsidR="00CF0754" w:rsidRPr="00CF0754" w:rsidRDefault="00CF0754" w:rsidP="00CF0754">
            <w:pPr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70C0"/>
                <w:sz w:val="18"/>
                <w:szCs w:val="18"/>
              </w:rPr>
            </w:pPr>
          </w:p>
          <w:p w14:paraId="6F7CD02F" w14:textId="77777777" w:rsidR="002B0A3E" w:rsidRDefault="002B0A3E" w:rsidP="00A44497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  <w:p w14:paraId="120F4EBD" w14:textId="77777777" w:rsidR="00363CBB" w:rsidRDefault="00363CBB" w:rsidP="00A44497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  <w:p w14:paraId="224B9D4D" w14:textId="77777777" w:rsidR="00CF0754" w:rsidRDefault="00CF0754" w:rsidP="00A44497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  <w:p w14:paraId="3A5B7F87" w14:textId="77777777" w:rsidR="00CF0754" w:rsidRPr="002B0A3E" w:rsidRDefault="00CF0754" w:rsidP="00A44497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73192E6F" w14:textId="77777777" w:rsidR="002B0A3E" w:rsidRDefault="007C6E57" w:rsidP="007C6E5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lastRenderedPageBreak/>
              <w:t>A</w:t>
            </w:r>
            <w:r w:rsidR="002B0A3E" w:rsidRPr="00A96697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rtículo 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31</w:t>
            </w:r>
            <w:r w:rsidR="002B0A3E" w:rsidRPr="00A96697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del Reglamento a la ley de contratación administrativa.</w:t>
            </w:r>
          </w:p>
          <w:p w14:paraId="28175562" w14:textId="77777777" w:rsidR="00CF0754" w:rsidRDefault="00CF0754" w:rsidP="007C6E5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  <w:p w14:paraId="22334A39" w14:textId="77777777" w:rsidR="00CF0754" w:rsidRDefault="00CF0754" w:rsidP="007C6E5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  <w:p w14:paraId="24B33A56" w14:textId="77777777" w:rsidR="00CF0754" w:rsidRDefault="00CF0754" w:rsidP="007C6E5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  <w:p w14:paraId="6338431F" w14:textId="652E7ADD" w:rsidR="00CF0754" w:rsidRPr="00A96697" w:rsidRDefault="00CF0754" w:rsidP="007C6E5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CF0754">
              <w:rPr>
                <w:rFonts w:ascii="Arial" w:eastAsia="Times New Roman" w:hAnsi="Arial"/>
                <w:color w:val="0070C0"/>
                <w:sz w:val="18"/>
                <w:szCs w:val="18"/>
              </w:rPr>
              <w:t>De acuerdo con las Condiciones Generales de los Carteles de Licitación bajo las Políticas del Banco Interamericano de Desarrollo.</w:t>
            </w:r>
          </w:p>
        </w:tc>
      </w:tr>
      <w:tr w:rsidR="002B0A3E" w:rsidRPr="002B0A3E" w14:paraId="70E312A2" w14:textId="77777777" w:rsidTr="001E229F">
        <w:trPr>
          <w:trHeight w:val="166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2DD5960" w14:textId="77777777" w:rsidR="002B0A3E" w:rsidRDefault="002B0A3E" w:rsidP="00CF0754">
            <w:pPr>
              <w:pStyle w:val="Prrafodelista"/>
              <w:numPr>
                <w:ilvl w:val="0"/>
                <w:numId w:val="10"/>
              </w:numPr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CF0754">
              <w:rPr>
                <w:rFonts w:ascii="Arial" w:eastAsia="Times New Roman" w:hAnsi="Arial"/>
                <w:color w:val="000000"/>
                <w:sz w:val="18"/>
                <w:szCs w:val="18"/>
              </w:rPr>
              <w:lastRenderedPageBreak/>
              <w:t>La información CCSS, FODESAF e INS, deben estar a actualizadas y al día.</w:t>
            </w:r>
          </w:p>
          <w:p w14:paraId="70BA89C5" w14:textId="77777777" w:rsidR="00BC3489" w:rsidRDefault="00BC3489" w:rsidP="00BC3489">
            <w:pPr>
              <w:pStyle w:val="Prrafodelista"/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  <w:p w14:paraId="771A52EA" w14:textId="505A6F35" w:rsidR="00BC3489" w:rsidRPr="00CF0754" w:rsidRDefault="00BC3489" w:rsidP="00363CBB">
            <w:pPr>
              <w:pStyle w:val="Prrafodelista"/>
              <w:tabs>
                <w:tab w:val="left" w:pos="161"/>
              </w:tabs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EBE16E" w14:textId="04529723" w:rsidR="002B0A3E" w:rsidRPr="00A96697" w:rsidRDefault="002B0A3E" w:rsidP="00A4449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A96697">
              <w:rPr>
                <w:rFonts w:ascii="Arial" w:eastAsia="Times New Roman" w:hAnsi="Arial"/>
                <w:color w:val="000000"/>
                <w:sz w:val="18"/>
                <w:szCs w:val="18"/>
              </w:rPr>
              <w:t>Ley  Constitutiva  de la Caja Costarricense del Seguro Social, No. 7983,  artículo 74, inciso 3.</w:t>
            </w:r>
          </w:p>
          <w:p w14:paraId="4CB38948" w14:textId="70AB3C82" w:rsidR="002B0A3E" w:rsidRDefault="002B0A3E" w:rsidP="00A44497">
            <w:pPr>
              <w:ind w:left="14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0A3E">
              <w:rPr>
                <w:rFonts w:ascii="Arial" w:eastAsia="Times New Roman" w:hAnsi="Arial"/>
                <w:color w:val="000000"/>
                <w:sz w:val="18"/>
                <w:szCs w:val="18"/>
              </w:rPr>
              <w:t>Ley No. 6727 Sobre los Riesgos del Trabajo. Artículo No 202</w:t>
            </w:r>
            <w:r w:rsidRPr="00A444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49DE611F" w14:textId="126A73C0" w:rsidR="00CF0754" w:rsidRPr="00CF0754" w:rsidRDefault="00CF0754" w:rsidP="00A44497">
            <w:pPr>
              <w:ind w:left="142"/>
              <w:jc w:val="both"/>
              <w:textAlignment w:val="baseline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CF0754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 xml:space="preserve">Se aclara que en cuanto a los certificados de CCSS y </w:t>
            </w:r>
            <w:proofErr w:type="spellStart"/>
            <w:r w:rsidRPr="00CF0754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Fodesaf</w:t>
            </w:r>
            <w:proofErr w:type="spellEnd"/>
            <w:r w:rsidRPr="00CF0754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 xml:space="preserve"> si no son presentados por el Contratista, la Administración verifica que estén al día en sus pagos para el trámite de pago, de acuerdo con la Simplificación de Trámites.</w:t>
            </w:r>
          </w:p>
          <w:p w14:paraId="1EA667A6" w14:textId="77777777" w:rsidR="002B0A3E" w:rsidRPr="002B0A3E" w:rsidRDefault="002B0A3E" w:rsidP="00A4449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</w:tbl>
    <w:p w14:paraId="524ECE0E" w14:textId="77777777" w:rsidR="00EF0B5B" w:rsidRPr="002B0A3E" w:rsidRDefault="00EF0B5B">
      <w:pPr>
        <w:jc w:val="center"/>
      </w:pPr>
    </w:p>
    <w:p w14:paraId="2A825B1D" w14:textId="77777777" w:rsidR="00EF0B5B" w:rsidRPr="002B0A3E" w:rsidRDefault="00EF0B5B">
      <w:pPr>
        <w:jc w:val="center"/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7797"/>
      </w:tblGrid>
      <w:tr w:rsidR="001E229F" w:rsidRPr="00110117" w14:paraId="7BB44691" w14:textId="77777777" w:rsidTr="00EF0B5B">
        <w:trPr>
          <w:trHeight w:hRule="exact" w:val="821"/>
          <w:jc w:val="center"/>
        </w:trPr>
        <w:tc>
          <w:tcPr>
            <w:tcW w:w="10553" w:type="dxa"/>
            <w:gridSpan w:val="2"/>
            <w:vAlign w:val="center"/>
          </w:tcPr>
          <w:p w14:paraId="65EE22A7" w14:textId="77777777" w:rsidR="001E229F" w:rsidRPr="00EF0B5B" w:rsidRDefault="001E229F" w:rsidP="001854E2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0B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Nombre del Trámite: Pago de Facturas a Proveedores</w:t>
            </w:r>
          </w:p>
        </w:tc>
      </w:tr>
      <w:tr w:rsidR="001E229F" w:rsidRPr="00110117" w14:paraId="10CF0F6B" w14:textId="77777777" w:rsidTr="00EF0B5B">
        <w:trPr>
          <w:trHeight w:hRule="exact" w:val="821"/>
          <w:jc w:val="center"/>
        </w:trPr>
        <w:tc>
          <w:tcPr>
            <w:tcW w:w="10553" w:type="dxa"/>
            <w:gridSpan w:val="2"/>
            <w:vAlign w:val="center"/>
          </w:tcPr>
          <w:p w14:paraId="4E042A14" w14:textId="77777777" w:rsidR="001E229F" w:rsidRPr="001E229F" w:rsidRDefault="001E229F" w:rsidP="001E229F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Si desea revisar leyes y decretos los puede encontrar en la página de la Procuraduría General de la República </w:t>
            </w: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br/>
            </w:r>
            <w:hyperlink r:id="rId5">
              <w:r w:rsidRPr="00EF0B5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http://www.pgr.go.cr/Scij/index_pgr.asp</w:t>
              </w:r>
            </w:hyperlink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o si es alguna otra disposición o manual lo puede hacer en la página del </w:t>
            </w: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br/>
              <w:t xml:space="preserve">Diario Oficial La Gaceta </w:t>
            </w:r>
            <w:hyperlink r:id="rId6">
              <w:r w:rsidRPr="00EF0B5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http://www.gaceta.go.cr</w:t>
              </w:r>
            </w:hyperlink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s-ES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o en la página web del CONAVI </w:t>
            </w:r>
            <w:hyperlink r:id="rId7" w:history="1">
              <w:r w:rsidRPr="0042691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http://www.conavi.go.cr</w:t>
              </w:r>
            </w:hyperlink>
          </w:p>
        </w:tc>
      </w:tr>
      <w:tr w:rsidR="001E229F" w:rsidRPr="00110117" w14:paraId="1025FB93" w14:textId="77777777" w:rsidTr="00807F13">
        <w:trPr>
          <w:trHeight w:hRule="exact" w:val="1021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728F40A7" w14:textId="77777777" w:rsidR="001E229F" w:rsidRPr="00EF0B5B" w:rsidRDefault="001E229F" w:rsidP="001E229F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vAlign w:val="center"/>
          </w:tcPr>
          <w:p w14:paraId="42829B2A" w14:textId="2C782A5A" w:rsidR="00807F13" w:rsidRPr="00807F13" w:rsidRDefault="00093399" w:rsidP="00807F13">
            <w:pPr>
              <w:ind w:left="98"/>
              <w:textAlignment w:val="baseline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15 días naturales.</w:t>
            </w:r>
            <w:bookmarkStart w:id="0" w:name="_GoBack"/>
            <w:bookmarkEnd w:id="0"/>
          </w:p>
          <w:p w14:paraId="40F8C5C5" w14:textId="53B4F443" w:rsidR="00807F13" w:rsidRPr="00807F13" w:rsidRDefault="00807F13" w:rsidP="00807F13">
            <w:pPr>
              <w:ind w:left="98"/>
              <w:textAlignment w:val="baseline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807F1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Se aclara que este plazo es desde la recepción de la factura hasta la presentación de la misma ante el </w:t>
            </w:r>
            <w:proofErr w:type="spellStart"/>
            <w:r w:rsidRPr="00807F1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Dpto</w:t>
            </w:r>
            <w:proofErr w:type="spellEnd"/>
            <w:r w:rsidRPr="00807F1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Financiero de CONAVI, plazo que incluye la búsqueda de la firma del Director Ejecutivo del CONAVI.</w:t>
            </w:r>
          </w:p>
          <w:p w14:paraId="7CB03D20" w14:textId="58794FD7" w:rsidR="00807F13" w:rsidRPr="00EF0B5B" w:rsidRDefault="00807F13" w:rsidP="00807F13">
            <w:pPr>
              <w:ind w:left="98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E229F" w:rsidRPr="00EF0B5B" w14:paraId="20073FE2" w14:textId="77777777" w:rsidTr="00EF0B5B">
        <w:trPr>
          <w:trHeight w:hRule="exact" w:val="592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1C30EF20" w14:textId="22C7E82A" w:rsidR="001E229F" w:rsidRPr="00EF0B5B" w:rsidRDefault="001E229F" w:rsidP="001E229F">
            <w:pPr>
              <w:ind w:left="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vAlign w:val="center"/>
          </w:tcPr>
          <w:p w14:paraId="1C52655C" w14:textId="77777777" w:rsidR="001E229F" w:rsidRPr="00EF0B5B" w:rsidRDefault="001E229F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  aplica.</w:t>
            </w:r>
          </w:p>
        </w:tc>
      </w:tr>
      <w:tr w:rsidR="001E229F" w:rsidRPr="00EF0B5B" w14:paraId="464A01C2" w14:textId="77777777" w:rsidTr="00EF0B5B">
        <w:trPr>
          <w:trHeight w:hRule="exact" w:val="560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512A8330" w14:textId="77777777" w:rsidR="001E229F" w:rsidRPr="00EF0B5B" w:rsidRDefault="001E229F" w:rsidP="001E229F">
            <w:pPr>
              <w:ind w:left="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vAlign w:val="center"/>
          </w:tcPr>
          <w:p w14:paraId="66F7AA38" w14:textId="77777777" w:rsidR="001E229F" w:rsidRPr="00EF0B5B" w:rsidRDefault="001E229F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 costo</w:t>
            </w:r>
          </w:p>
        </w:tc>
      </w:tr>
      <w:tr w:rsidR="001E229F" w:rsidRPr="00EF0B5B" w14:paraId="25C388C7" w14:textId="77777777" w:rsidTr="00EF0B5B">
        <w:trPr>
          <w:trHeight w:hRule="exact" w:val="554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20323A08" w14:textId="77777777" w:rsidR="001E229F" w:rsidRPr="00EF0B5B" w:rsidRDefault="001E229F" w:rsidP="001E229F">
            <w:pPr>
              <w:ind w:left="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vAlign w:val="center"/>
          </w:tcPr>
          <w:p w14:paraId="41E9147B" w14:textId="77777777" w:rsidR="001E229F" w:rsidRPr="00EF0B5B" w:rsidRDefault="001E229F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  aplica.</w:t>
            </w:r>
          </w:p>
        </w:tc>
      </w:tr>
      <w:tr w:rsidR="001E229F" w:rsidRPr="00EF0B5B" w14:paraId="4756218D" w14:textId="77777777" w:rsidTr="00EF0B5B">
        <w:trPr>
          <w:trHeight w:hRule="exact" w:val="360"/>
          <w:jc w:val="center"/>
        </w:trPr>
        <w:tc>
          <w:tcPr>
            <w:tcW w:w="10553" w:type="dxa"/>
            <w:gridSpan w:val="2"/>
            <w:shd w:val="clear" w:color="auto" w:fill="FFFFFF" w:themeFill="background1"/>
            <w:vAlign w:val="center"/>
          </w:tcPr>
          <w:p w14:paraId="596308D1" w14:textId="77777777" w:rsidR="001E229F" w:rsidRPr="00EF0B5B" w:rsidRDefault="001E229F" w:rsidP="00EF0B5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F0B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1E229F" w:rsidRPr="00EF0B5B" w14:paraId="3AD9E1A6" w14:textId="77777777" w:rsidTr="00EF0B5B">
        <w:trPr>
          <w:trHeight w:hRule="exact" w:val="360"/>
          <w:jc w:val="center"/>
        </w:trPr>
        <w:tc>
          <w:tcPr>
            <w:tcW w:w="10553" w:type="dxa"/>
            <w:gridSpan w:val="2"/>
            <w:shd w:val="clear" w:color="auto" w:fill="BFBFBF" w:themeFill="background1" w:themeFillShade="BF"/>
            <w:vAlign w:val="center"/>
          </w:tcPr>
          <w:p w14:paraId="4E520014" w14:textId="77777777" w:rsidR="001E229F" w:rsidRPr="00EF0B5B" w:rsidRDefault="001E229F" w:rsidP="00EF0B5B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807F13" w:rsidRPr="00EF0B5B" w14:paraId="5B48483E" w14:textId="77777777" w:rsidTr="00807F13">
        <w:trPr>
          <w:trHeight w:hRule="exact" w:val="546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53B263BD" w14:textId="77777777" w:rsidR="00807F13" w:rsidRPr="00EF0B5B" w:rsidRDefault="00807F13" w:rsidP="00807F13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shd w:val="clear" w:color="auto" w:fill="DBE5F1" w:themeFill="accent1" w:themeFillTint="33"/>
          </w:tcPr>
          <w:p w14:paraId="7DA9199B" w14:textId="3F5B22C5" w:rsidR="00807F13" w:rsidRPr="00807F13" w:rsidRDefault="00807F13" w:rsidP="00807F1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F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Sede del CONAVI-San Pedro de Montes de Oca, Carretera a Sabanilla, diagonal a la Rotonda de la Betania. Apartado Postal 616-2010 San José Costa Rica</w:t>
            </w:r>
          </w:p>
        </w:tc>
      </w:tr>
      <w:tr w:rsidR="00807F13" w:rsidRPr="00110117" w14:paraId="6650916B" w14:textId="77777777" w:rsidTr="00B4173D">
        <w:trPr>
          <w:trHeight w:hRule="exact" w:val="350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7F0852F4" w14:textId="77777777" w:rsidR="00807F13" w:rsidRPr="00EF0B5B" w:rsidRDefault="00807F13" w:rsidP="00807F13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shd w:val="clear" w:color="auto" w:fill="DBE5F1" w:themeFill="accent1" w:themeFillTint="33"/>
          </w:tcPr>
          <w:p w14:paraId="7D635213" w14:textId="2651A39A" w:rsidR="00807F13" w:rsidRPr="00807F13" w:rsidRDefault="00807F13" w:rsidP="00807F1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F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Ronny Sánchez Chaves</w:t>
            </w:r>
          </w:p>
        </w:tc>
      </w:tr>
      <w:tr w:rsidR="00807F13" w:rsidRPr="00110117" w14:paraId="6C5AFD2A" w14:textId="77777777" w:rsidTr="00B4173D">
        <w:trPr>
          <w:trHeight w:hRule="exact" w:val="370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3BE7B314" w14:textId="77777777" w:rsidR="00807F13" w:rsidRPr="00EF0B5B" w:rsidRDefault="00807F13" w:rsidP="00807F13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shd w:val="clear" w:color="auto" w:fill="DBE5F1" w:themeFill="accent1" w:themeFillTint="33"/>
          </w:tcPr>
          <w:p w14:paraId="42CDCDBF" w14:textId="7ED7DB5C" w:rsidR="00807F13" w:rsidRPr="00807F13" w:rsidRDefault="00093399" w:rsidP="00807F1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" w:history="1">
              <w:r w:rsidR="00807F13" w:rsidRPr="008261A7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ronny.sanchez@conavi.go.cr</w:t>
              </w:r>
            </w:hyperlink>
          </w:p>
        </w:tc>
      </w:tr>
      <w:tr w:rsidR="00807F13" w:rsidRPr="00EF0B5B" w14:paraId="40850469" w14:textId="77777777" w:rsidTr="00EF0B5B">
        <w:trPr>
          <w:trHeight w:hRule="exact" w:val="360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79AF19DB" w14:textId="0603B44C" w:rsidR="00807F13" w:rsidRPr="00EF0B5B" w:rsidRDefault="00807F13" w:rsidP="00807F13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shd w:val="clear" w:color="auto" w:fill="DBE5F1" w:themeFill="accent1" w:themeFillTint="33"/>
            <w:vAlign w:val="center"/>
          </w:tcPr>
          <w:p w14:paraId="4D7FF273" w14:textId="334BA9E5" w:rsidR="00807F13" w:rsidRPr="00EF0B5B" w:rsidRDefault="00807F13" w:rsidP="00807F13">
            <w:pPr>
              <w:ind w:right="44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(506) 2202-5456 / 5475     </w:t>
            </w:r>
            <w:r w:rsidRPr="00EF0B5B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(506) :</w:t>
            </w:r>
          </w:p>
        </w:tc>
      </w:tr>
      <w:tr w:rsidR="00807F13" w:rsidRPr="00EF0B5B" w14:paraId="0D755EEF" w14:textId="77777777" w:rsidTr="00EF0B5B">
        <w:trPr>
          <w:trHeight w:hRule="exact" w:val="660"/>
          <w:jc w:val="center"/>
        </w:trPr>
        <w:tc>
          <w:tcPr>
            <w:tcW w:w="10553" w:type="dxa"/>
            <w:gridSpan w:val="2"/>
            <w:shd w:val="clear" w:color="94B3D6" w:fill="94B3D6"/>
            <w:vAlign w:val="center"/>
          </w:tcPr>
          <w:p w14:paraId="4A0719CB" w14:textId="77777777" w:rsidR="00807F13" w:rsidRPr="00EF0B5B" w:rsidRDefault="00807F13" w:rsidP="00807F13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Observaciones:</w:t>
            </w:r>
          </w:p>
        </w:tc>
      </w:tr>
      <w:tr w:rsidR="00807F13" w:rsidRPr="00EF0B5B" w14:paraId="5E0A74BD" w14:textId="77777777" w:rsidTr="00C93760">
        <w:trPr>
          <w:trHeight w:hRule="exact" w:val="360"/>
          <w:jc w:val="center"/>
        </w:trPr>
        <w:tc>
          <w:tcPr>
            <w:tcW w:w="10553" w:type="dxa"/>
            <w:gridSpan w:val="2"/>
            <w:shd w:val="clear" w:color="auto" w:fill="BFBFBF" w:themeFill="background1" w:themeFillShade="BF"/>
            <w:vAlign w:val="center"/>
          </w:tcPr>
          <w:p w14:paraId="54D3D7CB" w14:textId="09CE0A60" w:rsidR="00807F13" w:rsidRPr="00EF0B5B" w:rsidRDefault="00807F13" w:rsidP="00807F1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2</w:t>
            </w:r>
          </w:p>
        </w:tc>
      </w:tr>
      <w:tr w:rsidR="00807F13" w:rsidRPr="00EF0B5B" w14:paraId="62A89512" w14:textId="77777777" w:rsidTr="00807F13">
        <w:trPr>
          <w:trHeight w:hRule="exact" w:val="569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522D6960" w14:textId="77777777" w:rsidR="00807F13" w:rsidRPr="00EF0B5B" w:rsidRDefault="00807F13" w:rsidP="00807F13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shd w:val="clear" w:color="auto" w:fill="DBE5F1" w:themeFill="accent1" w:themeFillTint="33"/>
            <w:vAlign w:val="center"/>
          </w:tcPr>
          <w:p w14:paraId="3330653D" w14:textId="710DCD4E" w:rsidR="00807F13" w:rsidRPr="00EF0B5B" w:rsidRDefault="00807F13" w:rsidP="00807F1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F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Sede del CONAVI-San Pedro de Montes de Oca, Carretera a Sabanilla, diagonal a la Rotonda de la Betania. Apartado Postal 616-2010 San José Costa Rica</w:t>
            </w:r>
          </w:p>
        </w:tc>
      </w:tr>
      <w:tr w:rsidR="00807F13" w:rsidRPr="00EF0B5B" w14:paraId="540C4084" w14:textId="77777777" w:rsidTr="00C93760">
        <w:trPr>
          <w:trHeight w:hRule="exact" w:val="350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786BD16A" w14:textId="77777777" w:rsidR="00807F13" w:rsidRPr="00EF0B5B" w:rsidRDefault="00807F13" w:rsidP="00807F13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shd w:val="clear" w:color="auto" w:fill="DBE5F1" w:themeFill="accent1" w:themeFillTint="33"/>
            <w:vAlign w:val="center"/>
          </w:tcPr>
          <w:p w14:paraId="5B4DD5B4" w14:textId="398A1F0D" w:rsidR="00807F13" w:rsidRPr="00EF0B5B" w:rsidRDefault="00807F13" w:rsidP="00807F1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7F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Alicia Padilla Duarte</w:t>
            </w:r>
          </w:p>
        </w:tc>
      </w:tr>
      <w:tr w:rsidR="00807F13" w:rsidRPr="00EF0B5B" w14:paraId="70BCBA14" w14:textId="77777777" w:rsidTr="00C93760">
        <w:trPr>
          <w:trHeight w:hRule="exact" w:val="370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7513F7E5" w14:textId="77777777" w:rsidR="00807F13" w:rsidRPr="00EF0B5B" w:rsidRDefault="00807F13" w:rsidP="00807F13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shd w:val="clear" w:color="auto" w:fill="DBE5F1" w:themeFill="accent1" w:themeFillTint="33"/>
            <w:vAlign w:val="center"/>
          </w:tcPr>
          <w:p w14:paraId="1A19F445" w14:textId="02D5F6FD" w:rsidR="00807F13" w:rsidRPr="00EF0B5B" w:rsidRDefault="00807F13" w:rsidP="00807F1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5C74">
              <w:t xml:space="preserve"> </w:t>
            </w:r>
            <w:hyperlink r:id="rId9" w:history="1">
              <w:r w:rsidRPr="00DF5C74">
                <w:rPr>
                  <w:rStyle w:val="Hipervnculo"/>
                  <w:rFonts w:ascii="Arial" w:hAnsi="Arial" w:cs="Arial"/>
                </w:rPr>
                <w:t>alicia.padilla@conavi.go.cr</w:t>
              </w:r>
            </w:hyperlink>
          </w:p>
        </w:tc>
      </w:tr>
      <w:tr w:rsidR="00807F13" w:rsidRPr="00EF0B5B" w14:paraId="4EB27B8A" w14:textId="77777777" w:rsidTr="00C93760">
        <w:trPr>
          <w:trHeight w:hRule="exact" w:val="360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133B8841" w14:textId="77777777" w:rsidR="00807F13" w:rsidRPr="00EF0B5B" w:rsidRDefault="00807F13" w:rsidP="00807F13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Teléfono: </w:t>
            </w: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(506) </w:t>
            </w: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2202-5326</w:t>
            </w:r>
          </w:p>
        </w:tc>
        <w:tc>
          <w:tcPr>
            <w:tcW w:w="7797" w:type="dxa"/>
            <w:shd w:val="clear" w:color="auto" w:fill="DBE5F1" w:themeFill="accent1" w:themeFillTint="33"/>
            <w:vAlign w:val="center"/>
          </w:tcPr>
          <w:p w14:paraId="6DE6EA2C" w14:textId="3B9C68CD" w:rsidR="00807F13" w:rsidRPr="00807F13" w:rsidRDefault="00807F13" w:rsidP="00807F13">
            <w:pPr>
              <w:ind w:right="44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07F1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2202-5405</w:t>
            </w:r>
            <w:r w:rsidRPr="00807F13">
              <w:rPr>
                <w:rFonts w:eastAsia="Times New Roman"/>
                <w:spacing w:val="-1"/>
                <w:sz w:val="20"/>
                <w:szCs w:val="20"/>
                <w:lang w:val="es-ES"/>
              </w:rPr>
              <w:t> </w:t>
            </w:r>
            <w:r w:rsidRPr="00807F13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val="es-ES"/>
              </w:rPr>
              <w:t>/</w:t>
            </w:r>
            <w:r w:rsidRPr="00807F13">
              <w:rPr>
                <w:rFonts w:eastAsia="Times New Roman"/>
                <w:spacing w:val="-1"/>
                <w:sz w:val="20"/>
                <w:szCs w:val="20"/>
                <w:lang w:val="es-ES"/>
              </w:rPr>
              <w:t> </w:t>
            </w:r>
            <w:r w:rsidRPr="00807F1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2202-5432</w:t>
            </w:r>
          </w:p>
        </w:tc>
      </w:tr>
      <w:tr w:rsidR="00807F13" w:rsidRPr="00EF0B5B" w14:paraId="473B9F05" w14:textId="77777777" w:rsidTr="00C93760">
        <w:trPr>
          <w:trHeight w:hRule="exact" w:val="660"/>
          <w:jc w:val="center"/>
        </w:trPr>
        <w:tc>
          <w:tcPr>
            <w:tcW w:w="10553" w:type="dxa"/>
            <w:gridSpan w:val="2"/>
            <w:shd w:val="clear" w:color="94B3D6" w:fill="94B3D6"/>
            <w:vAlign w:val="center"/>
          </w:tcPr>
          <w:p w14:paraId="303A4A28" w14:textId="77777777" w:rsidR="00807F13" w:rsidRPr="00EF0B5B" w:rsidRDefault="00807F13" w:rsidP="00807F13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Observaciones:</w:t>
            </w:r>
          </w:p>
        </w:tc>
      </w:tr>
    </w:tbl>
    <w:p w14:paraId="4BD87A05" w14:textId="77777777" w:rsidR="00807F13" w:rsidRPr="0053166D" w:rsidRDefault="00807F13" w:rsidP="0053166D"/>
    <w:sectPr w:rsidR="00807F13" w:rsidRPr="0053166D" w:rsidSect="00EF0B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043F7"/>
    <w:multiLevelType w:val="hybridMultilevel"/>
    <w:tmpl w:val="5A68A350"/>
    <w:lvl w:ilvl="0" w:tplc="E09A067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A4407"/>
    <w:multiLevelType w:val="hybridMultilevel"/>
    <w:tmpl w:val="34B6B8D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A43AA"/>
    <w:multiLevelType w:val="hybridMultilevel"/>
    <w:tmpl w:val="49FCB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B6F00"/>
    <w:multiLevelType w:val="hybridMultilevel"/>
    <w:tmpl w:val="32289E3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2946804"/>
    <w:multiLevelType w:val="hybridMultilevel"/>
    <w:tmpl w:val="B16ADD64"/>
    <w:lvl w:ilvl="0" w:tplc="CF1889A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530F2"/>
    <w:multiLevelType w:val="hybridMultilevel"/>
    <w:tmpl w:val="D842FBD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90BC9"/>
    <w:multiLevelType w:val="hybridMultilevel"/>
    <w:tmpl w:val="AEFC9F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846A7"/>
    <w:multiLevelType w:val="hybridMultilevel"/>
    <w:tmpl w:val="8E7C95BC"/>
    <w:lvl w:ilvl="0" w:tplc="D9761074">
      <w:start w:val="1"/>
      <w:numFmt w:val="decimal"/>
      <w:lvlText w:val="%1-"/>
      <w:lvlJc w:val="left"/>
      <w:pPr>
        <w:ind w:left="720" w:hanging="360"/>
      </w:pPr>
      <w:rPr>
        <w:rFonts w:ascii="Arial" w:eastAsia="SimSun" w:hAnsi="Arial" w:cs="Arial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613BE"/>
    <w:multiLevelType w:val="hybridMultilevel"/>
    <w:tmpl w:val="1BAE54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B4BEC"/>
    <w:multiLevelType w:val="hybridMultilevel"/>
    <w:tmpl w:val="B29CBD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DF"/>
    <w:rsid w:val="00093399"/>
    <w:rsid w:val="000958CE"/>
    <w:rsid w:val="000B1A71"/>
    <w:rsid w:val="00110117"/>
    <w:rsid w:val="001E229F"/>
    <w:rsid w:val="00226466"/>
    <w:rsid w:val="00267DEA"/>
    <w:rsid w:val="002B0A3E"/>
    <w:rsid w:val="002E42AF"/>
    <w:rsid w:val="00363CBB"/>
    <w:rsid w:val="003A4354"/>
    <w:rsid w:val="003E179F"/>
    <w:rsid w:val="003E6815"/>
    <w:rsid w:val="004434AF"/>
    <w:rsid w:val="004867F2"/>
    <w:rsid w:val="004B0E6B"/>
    <w:rsid w:val="0053166D"/>
    <w:rsid w:val="00597C39"/>
    <w:rsid w:val="005D4B76"/>
    <w:rsid w:val="006A1923"/>
    <w:rsid w:val="006D4713"/>
    <w:rsid w:val="006E26EE"/>
    <w:rsid w:val="006E2B22"/>
    <w:rsid w:val="007510BF"/>
    <w:rsid w:val="00772CFE"/>
    <w:rsid w:val="007C6E57"/>
    <w:rsid w:val="00807F13"/>
    <w:rsid w:val="0085009B"/>
    <w:rsid w:val="008D7CB0"/>
    <w:rsid w:val="009060F6"/>
    <w:rsid w:val="00A44497"/>
    <w:rsid w:val="00A858E3"/>
    <w:rsid w:val="00A96697"/>
    <w:rsid w:val="00B10580"/>
    <w:rsid w:val="00B4135B"/>
    <w:rsid w:val="00B608EA"/>
    <w:rsid w:val="00BC3489"/>
    <w:rsid w:val="00BC5AB8"/>
    <w:rsid w:val="00C53A42"/>
    <w:rsid w:val="00C86C10"/>
    <w:rsid w:val="00CF0754"/>
    <w:rsid w:val="00DE28E5"/>
    <w:rsid w:val="00E4158F"/>
    <w:rsid w:val="00EF0B5B"/>
    <w:rsid w:val="00F063BF"/>
    <w:rsid w:val="00F338DF"/>
    <w:rsid w:val="00FD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295C5E"/>
  <w15:docId w15:val="{A542F1B9-2DD6-4581-86B3-11F828B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8DF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8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166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807F13"/>
  </w:style>
  <w:style w:type="character" w:styleId="Textoennegrita">
    <w:name w:val="Strong"/>
    <w:basedOn w:val="Fuentedeprrafopredeter"/>
    <w:uiPriority w:val="22"/>
    <w:qFormat/>
    <w:rsid w:val="00807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ny.sanchez@conavi.go.c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avi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ceta.go.c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gr.go.cr/Scij/index_pgr.as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cia.padilla@conavi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Sanabria Navarro</dc:creator>
  <cp:lastModifiedBy>Ronny Sanchez Chaves</cp:lastModifiedBy>
  <cp:revision>4</cp:revision>
  <cp:lastPrinted>2015-03-13T16:11:00Z</cp:lastPrinted>
  <dcterms:created xsi:type="dcterms:W3CDTF">2015-05-13T14:33:00Z</dcterms:created>
  <dcterms:modified xsi:type="dcterms:W3CDTF">2015-05-13T14:40:00Z</dcterms:modified>
</cp:coreProperties>
</file>